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80A4" w14:textId="77777777" w:rsidR="002F4956" w:rsidRPr="00EF3CD5" w:rsidRDefault="00EF3CD5" w:rsidP="002F4956">
      <w:pPr>
        <w:spacing w:after="120"/>
        <w:rPr>
          <w:rFonts w:ascii="Calibri" w:hAnsi="Calibri"/>
          <w:lang w:val="it-IT"/>
        </w:rPr>
      </w:pPr>
      <w:r>
        <w:rPr>
          <w:rFonts w:ascii="Calibri" w:hAnsi="Calibri"/>
          <w:lang w:val="it"/>
        </w:rPr>
        <w:t>Nuova struttura commerciale</w:t>
      </w:r>
    </w:p>
    <w:p w14:paraId="3B6CDCA2" w14:textId="77777777" w:rsidR="009A3E87" w:rsidRPr="00EF3CD5" w:rsidRDefault="00EF3CD5" w:rsidP="002F4956">
      <w:pPr>
        <w:spacing w:line="300" w:lineRule="auto"/>
        <w:rPr>
          <w:rFonts w:ascii="Calibri" w:hAnsi="Calibri"/>
          <w:b/>
          <w:sz w:val="32"/>
          <w:szCs w:val="24"/>
          <w:lang w:val="it-IT"/>
        </w:rPr>
      </w:pPr>
      <w:r>
        <w:rPr>
          <w:rFonts w:ascii="Calibri" w:hAnsi="Calibri"/>
          <w:b/>
          <w:bCs/>
          <w:sz w:val="32"/>
          <w:szCs w:val="24"/>
          <w:lang w:val="it"/>
        </w:rPr>
        <w:t>FAULHABER traccia la rotta per continuare a crescere</w:t>
      </w:r>
    </w:p>
    <w:p w14:paraId="5A591083" w14:textId="77777777" w:rsidR="00233B0C" w:rsidRPr="00EF3CD5" w:rsidRDefault="00EF3CD5" w:rsidP="002F4956">
      <w:pPr>
        <w:spacing w:line="300" w:lineRule="auto"/>
        <w:rPr>
          <w:rFonts w:ascii="Calibri" w:hAnsi="Calibri"/>
          <w:b/>
          <w:lang w:val="it-IT"/>
        </w:rPr>
      </w:pPr>
      <w:r>
        <w:rPr>
          <w:rFonts w:ascii="Calibri" w:hAnsi="Calibri"/>
          <w:b/>
          <w:bCs/>
          <w:lang w:val="it"/>
        </w:rPr>
        <w:t>A partire dal 1º ottobre 2023 FAULHABER riorganizzerà la propria struttura commerciale per le vendite, puntando sempre di più sull'orientamento al cliente e sulla tempestività di risposta. Le responsabilità saranno riassegnate all'interno dell'attuale team</w:t>
      </w:r>
      <w:r>
        <w:rPr>
          <w:rFonts w:ascii="Calibri" w:hAnsi="Calibri"/>
          <w:b/>
          <w:bCs/>
          <w:lang w:val="it"/>
        </w:rPr>
        <w:t xml:space="preserve"> manageriale del reparto vendite. Questo sviluppo strategico rappresenta un tassello decisivo per portare la crescita dell'azienda al livello successivo.</w:t>
      </w:r>
    </w:p>
    <w:p w14:paraId="25DB4D61" w14:textId="77777777" w:rsidR="009A3E87" w:rsidRPr="00EF3CD5" w:rsidRDefault="009A3E87" w:rsidP="002F4956">
      <w:pPr>
        <w:spacing w:line="300" w:lineRule="auto"/>
        <w:rPr>
          <w:rFonts w:ascii="Calibri" w:hAnsi="Calibri"/>
          <w:lang w:val="it-IT"/>
        </w:rPr>
      </w:pPr>
    </w:p>
    <w:p w14:paraId="69344945" w14:textId="77777777" w:rsidR="009A3E87" w:rsidRPr="00EF3CD5" w:rsidRDefault="00EF3CD5" w:rsidP="009A3E87">
      <w:pPr>
        <w:spacing w:line="300" w:lineRule="auto"/>
        <w:rPr>
          <w:rFonts w:ascii="Calibri" w:hAnsi="Calibri"/>
          <w:lang w:val="it"/>
        </w:rPr>
      </w:pPr>
      <w:r>
        <w:rPr>
          <w:rFonts w:ascii="Calibri" w:hAnsi="Calibri"/>
          <w:lang w:val="it"/>
        </w:rPr>
        <w:t>Per rafforzare la propria struttura commerciale in un periodo di crescente complessità dei mercati in</w:t>
      </w:r>
      <w:r>
        <w:rPr>
          <w:rFonts w:ascii="Calibri" w:hAnsi="Calibri"/>
          <w:lang w:val="it"/>
        </w:rPr>
        <w:t>ternazionali, FAULHABER ha deciso di riorganizzare le vendite globali all'interno del team di grande esperienza guidato da Karl Faulhaber</w:t>
      </w:r>
      <w:r w:rsidRPr="00EF3CD5">
        <w:rPr>
          <w:rFonts w:ascii="Calibri" w:hAnsi="Calibri"/>
          <w:lang w:val="it"/>
        </w:rPr>
        <w:t>, membro del comitato esecutivo con delega alle vendite e al marketing.</w:t>
      </w:r>
      <w:r>
        <w:rPr>
          <w:rFonts w:ascii="Calibri" w:hAnsi="Calibri"/>
          <w:lang w:val="it"/>
        </w:rPr>
        <w:t xml:space="preserve"> </w:t>
      </w:r>
    </w:p>
    <w:p w14:paraId="15EBBD67" w14:textId="77777777" w:rsidR="009A3E87" w:rsidRPr="00EF3CD5" w:rsidRDefault="009A3E87" w:rsidP="009A3E87">
      <w:pPr>
        <w:spacing w:line="300" w:lineRule="auto"/>
        <w:rPr>
          <w:rFonts w:ascii="Calibri" w:hAnsi="Calibri"/>
          <w:lang w:val="it"/>
        </w:rPr>
      </w:pPr>
    </w:p>
    <w:p w14:paraId="64CC0518" w14:textId="68E5F007" w:rsidR="009A3E87" w:rsidRPr="00EF3CD5" w:rsidRDefault="00EF3CD5" w:rsidP="009A3E87">
      <w:pPr>
        <w:spacing w:line="300" w:lineRule="auto"/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"/>
        </w:rPr>
        <w:t xml:space="preserve">Marcus </w:t>
      </w:r>
      <w:proofErr w:type="spellStart"/>
      <w:r>
        <w:rPr>
          <w:rFonts w:ascii="Calibri" w:hAnsi="Calibri"/>
          <w:b/>
          <w:bCs/>
          <w:lang w:val="it"/>
        </w:rPr>
        <w:t>Remmel</w:t>
      </w:r>
      <w:proofErr w:type="spellEnd"/>
      <w:r>
        <w:rPr>
          <w:rFonts w:ascii="Calibri" w:hAnsi="Calibri"/>
          <w:lang w:val="it"/>
        </w:rPr>
        <w:t xml:space="preserve"> si occuperà dello sviluppo del </w:t>
      </w:r>
      <w:r>
        <w:rPr>
          <w:rFonts w:ascii="Calibri" w:hAnsi="Calibri"/>
          <w:lang w:val="it"/>
        </w:rPr>
        <w:t>mercato globale e sarà responsabile della futura creazione di nuovi canali di vendita e delle attività di sviluppo del business globale. Qui FAULHABER si concentrerà su clienti specifici, mercati target e aree geografiche ad alto potenziale ed investirà ne</w:t>
      </w:r>
      <w:r>
        <w:rPr>
          <w:rFonts w:ascii="Calibri" w:hAnsi="Calibri"/>
          <w:lang w:val="it"/>
        </w:rPr>
        <w:t xml:space="preserve">llo sviluppo di conoscenze specializzate per i mercati della tecnologia medica, dell'automazione e della robotica. </w:t>
      </w:r>
      <w:r>
        <w:rPr>
          <w:rFonts w:ascii="Calibri" w:hAnsi="Calibri"/>
          <w:b/>
          <w:bCs/>
          <w:lang w:val="it"/>
        </w:rPr>
        <w:t>Volker Sprenger</w:t>
      </w:r>
      <w:r>
        <w:rPr>
          <w:rFonts w:ascii="Calibri" w:hAnsi="Calibri"/>
          <w:lang w:val="it"/>
        </w:rPr>
        <w:t xml:space="preserve">, che già gestisce le attività di vendita e i clienti chiave in Germania, in futuro si occuperà dei clienti chiave a livello </w:t>
      </w:r>
      <w:r>
        <w:rPr>
          <w:rFonts w:ascii="Calibri" w:hAnsi="Calibri"/>
          <w:lang w:val="it"/>
        </w:rPr>
        <w:t xml:space="preserve">globale. Inoltre, aumenterà la presenza di FAULHABER sui mercati nordamericani. </w:t>
      </w:r>
      <w:r>
        <w:rPr>
          <w:rFonts w:ascii="Calibri" w:hAnsi="Calibri"/>
          <w:b/>
          <w:bCs/>
          <w:lang w:val="it"/>
        </w:rPr>
        <w:t>Mireille Deckers-Strobel</w:t>
      </w:r>
      <w:r>
        <w:rPr>
          <w:rFonts w:ascii="Calibri" w:hAnsi="Calibri"/>
          <w:lang w:val="it"/>
        </w:rPr>
        <w:t>, attualmente a capo delle operazioni di vendita globali (Global Sales Operations) e dotata di esperienza pluriennale nella gestione delle relazioni con</w:t>
      </w:r>
      <w:r>
        <w:rPr>
          <w:rFonts w:ascii="Calibri" w:hAnsi="Calibri"/>
          <w:lang w:val="it"/>
        </w:rPr>
        <w:t xml:space="preserve"> i clienti, diventerà responsabile anche dei mercati di vendita in Europa, Cina e Asia-Pacifico, nonché dei clienti globali diretti e della rete di distribuzione. Grazie al loro ampio know-how applicativo, guideranno la crescita a livello internazionale e </w:t>
      </w:r>
      <w:r>
        <w:rPr>
          <w:rFonts w:ascii="Calibri" w:hAnsi="Calibri"/>
          <w:lang w:val="it"/>
        </w:rPr>
        <w:t>consolideranno la posizione di mercato di FAULHABER.</w:t>
      </w:r>
    </w:p>
    <w:p w14:paraId="01EC5D6A" w14:textId="77777777" w:rsidR="009A3E87" w:rsidRPr="00EF3CD5" w:rsidRDefault="009A3E87" w:rsidP="009A3E87">
      <w:pPr>
        <w:spacing w:line="300" w:lineRule="auto"/>
        <w:rPr>
          <w:rFonts w:ascii="Calibri" w:hAnsi="Calibri"/>
          <w:lang w:val="it-IT"/>
        </w:rPr>
      </w:pPr>
    </w:p>
    <w:p w14:paraId="63C84A00" w14:textId="77777777" w:rsidR="002A431C" w:rsidRPr="00EF3CD5" w:rsidRDefault="00EF3CD5" w:rsidP="009A3E87">
      <w:pPr>
        <w:spacing w:line="300" w:lineRule="auto"/>
        <w:rPr>
          <w:rFonts w:ascii="Calibri" w:hAnsi="Calibri"/>
          <w:b/>
          <w:bCs/>
          <w:lang w:val="it-IT"/>
        </w:rPr>
      </w:pPr>
      <w:r>
        <w:rPr>
          <w:rFonts w:ascii="Calibri" w:hAnsi="Calibri"/>
          <w:lang w:val="it"/>
        </w:rPr>
        <w:t>«La riorganizzazione della nostra struttura commerciale per le vendite affidata al nostro team manageriale con esperienza di lungo corso ci permetterà di rafforzare le nostre attività di vendita a livel</w:t>
      </w:r>
      <w:r>
        <w:rPr>
          <w:rFonts w:ascii="Calibri" w:hAnsi="Calibri"/>
          <w:lang w:val="it"/>
        </w:rPr>
        <w:t>lo internazionale e di dare nuovo slancio alla crescita. Vogliamo sostenere i nostri clienti aiutandoli a creare la forza innovativa per i mercati futuri con i prodotti FAULHABER», afferma Karl Faulhaber, membro del comitato esecutivo.</w:t>
      </w:r>
    </w:p>
    <w:p w14:paraId="15CBDF6F" w14:textId="77777777" w:rsidR="00D0537A" w:rsidRPr="00EF3CD5" w:rsidRDefault="00D0537A" w:rsidP="004E55B0">
      <w:pPr>
        <w:spacing w:line="300" w:lineRule="auto"/>
        <w:rPr>
          <w:rFonts w:ascii="Calibri" w:hAnsi="Calibri"/>
          <w:b/>
          <w:bCs/>
          <w:lang w:val="it-IT"/>
        </w:rPr>
      </w:pPr>
    </w:p>
    <w:p w14:paraId="4947725A" w14:textId="77777777" w:rsidR="009A3E87" w:rsidRPr="00EF3CD5" w:rsidRDefault="009A3E87">
      <w:pPr>
        <w:rPr>
          <w:rFonts w:ascii="Calibri" w:hAnsi="Calibri"/>
          <w:b/>
          <w:bCs/>
          <w:lang w:val="it-IT"/>
        </w:rPr>
      </w:pPr>
    </w:p>
    <w:p w14:paraId="54FAB60B" w14:textId="77777777" w:rsidR="009A3E87" w:rsidRPr="00EF3CD5" w:rsidRDefault="00EF3CD5" w:rsidP="00153E4E">
      <w:pPr>
        <w:spacing w:line="300" w:lineRule="auto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"/>
        </w:rPr>
        <w:t xml:space="preserve">Informazioni su </w:t>
      </w:r>
      <w:r>
        <w:rPr>
          <w:rFonts w:ascii="Calibri" w:hAnsi="Calibri"/>
          <w:b/>
          <w:bCs/>
          <w:lang w:val="it"/>
        </w:rPr>
        <w:t>FAULHABER</w:t>
      </w:r>
    </w:p>
    <w:p w14:paraId="3126AB8C" w14:textId="77777777" w:rsidR="009A3E87" w:rsidRPr="00EF3CD5" w:rsidRDefault="00EF3CD5" w:rsidP="00153E4E">
      <w:pPr>
        <w:spacing w:line="300" w:lineRule="auto"/>
        <w:rPr>
          <w:rFonts w:ascii="Calibri" w:hAnsi="Calibri"/>
          <w:lang w:val="it-IT"/>
        </w:rPr>
      </w:pPr>
      <w:r>
        <w:rPr>
          <w:rFonts w:ascii="Calibri" w:hAnsi="Calibri"/>
          <w:lang w:val="it"/>
        </w:rPr>
        <w:t xml:space="preserve">FAULHABER è un gruppo di imprese indipendente a conduzione familiare con sede a </w:t>
      </w:r>
      <w:proofErr w:type="spellStart"/>
      <w:r>
        <w:rPr>
          <w:rFonts w:ascii="Calibri" w:hAnsi="Calibri"/>
          <w:lang w:val="it"/>
        </w:rPr>
        <w:t>Schönaich</w:t>
      </w:r>
      <w:proofErr w:type="spellEnd"/>
      <w:r>
        <w:rPr>
          <w:rFonts w:ascii="Calibri" w:hAnsi="Calibri"/>
          <w:lang w:val="it"/>
        </w:rPr>
        <w:t xml:space="preserve">, vicino a Stoccarda, nel Baden-Württemberg (Germania). Fondata nel 1947, l'azienda FAULHABER vanta oggi la </w:t>
      </w:r>
      <w:r>
        <w:rPr>
          <w:rFonts w:ascii="Calibri" w:hAnsi="Calibri"/>
          <w:lang w:val="it"/>
        </w:rPr>
        <w:lastRenderedPageBreak/>
        <w:t>più ampia gamma al mondo di tecnologie di azionam</w:t>
      </w:r>
      <w:r>
        <w:rPr>
          <w:rFonts w:ascii="Calibri" w:hAnsi="Calibri"/>
          <w:lang w:val="it"/>
        </w:rPr>
        <w:t xml:space="preserve">ento in miniatura e micro disponibili presso un unico fornitore. </w:t>
      </w:r>
    </w:p>
    <w:p w14:paraId="338FF4C0" w14:textId="77777777" w:rsidR="009A3E87" w:rsidRPr="00EF3CD5" w:rsidRDefault="00EF3CD5" w:rsidP="00153E4E">
      <w:pPr>
        <w:spacing w:line="300" w:lineRule="auto"/>
        <w:rPr>
          <w:rFonts w:ascii="Calibri" w:hAnsi="Calibri"/>
          <w:lang w:val="it-IT"/>
        </w:rPr>
      </w:pPr>
      <w:r>
        <w:rPr>
          <w:rFonts w:ascii="Calibri" w:hAnsi="Calibri"/>
          <w:lang w:val="it"/>
        </w:rPr>
        <w:t>Grazie a questa grande varietà di tecnologie, l'azienda progetta soluzioni di azionamento uniche in termini di precisione e affidabilità negli spazi più ridotti. Le principali aree di utiliz</w:t>
      </w:r>
      <w:r>
        <w:rPr>
          <w:rFonts w:ascii="Calibri" w:hAnsi="Calibri"/>
          <w:lang w:val="it"/>
        </w:rPr>
        <w:t>zo includono l'automazione, la robotica, l'industria aerospaziale, i sistemi ottici e la tecnologia medica e di laboratorio.</w:t>
      </w:r>
    </w:p>
    <w:p w14:paraId="34AD29E4" w14:textId="77777777" w:rsidR="009A3E87" w:rsidRPr="00EF3CD5" w:rsidRDefault="00EF3CD5" w:rsidP="009A3E87">
      <w:pPr>
        <w:spacing w:line="300" w:lineRule="auto"/>
        <w:rPr>
          <w:rFonts w:ascii="Calibri" w:hAnsi="Calibri"/>
          <w:lang w:val="it-IT"/>
        </w:rPr>
      </w:pPr>
      <w:r>
        <w:rPr>
          <w:rFonts w:ascii="Calibri" w:hAnsi="Calibri"/>
          <w:lang w:val="it"/>
        </w:rPr>
        <w:t>Oltre che in Germania, FAULHABER ha sedi dedicate allo sviluppo e alla produzione in Svizzera, negli Stati Uniti, in Romania e in U</w:t>
      </w:r>
      <w:r>
        <w:rPr>
          <w:rFonts w:ascii="Calibri" w:hAnsi="Calibri"/>
          <w:lang w:val="it"/>
        </w:rPr>
        <w:t>ngheria. La rete è completata da partner commerciali e filiali presenti in oltre 30 Paesi.</w:t>
      </w: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9"/>
      </w:tblGrid>
      <w:tr w:rsidR="00D60F5B" w14:paraId="18931027" w14:textId="77777777" w:rsidTr="00233B0C">
        <w:tc>
          <w:tcPr>
            <w:tcW w:w="4678" w:type="dxa"/>
          </w:tcPr>
          <w:p w14:paraId="722CD5E2" w14:textId="77777777" w:rsidR="00E82C85" w:rsidRPr="00EF3CD5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5389" w:type="dxa"/>
          </w:tcPr>
          <w:p w14:paraId="3D1638EF" w14:textId="77777777" w:rsidR="00233B0C" w:rsidRPr="00E82C85" w:rsidRDefault="00EF3CD5" w:rsidP="00233B0C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"/>
              </w:rPr>
              <w:t>408 parole / 2.798 caratteri</w:t>
            </w:r>
          </w:p>
        </w:tc>
      </w:tr>
      <w:tr w:rsidR="00D60F5B" w14:paraId="74DD668C" w14:textId="77777777" w:rsidTr="00233B0C">
        <w:trPr>
          <w:cantSplit/>
          <w:trHeight w:val="80"/>
        </w:trPr>
        <w:tc>
          <w:tcPr>
            <w:tcW w:w="4678" w:type="dxa"/>
          </w:tcPr>
          <w:p w14:paraId="5CDF6E26" w14:textId="77777777" w:rsidR="00234BDD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02919AAD" w14:textId="77777777" w:rsidR="009A3E87" w:rsidRPr="00E82C85" w:rsidRDefault="009A3E87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26E77D6C" w14:textId="77777777" w:rsidR="00157998" w:rsidRPr="00E82C85" w:rsidRDefault="00EF3CD5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it"/>
              </w:rPr>
              <w:drawing>
                <wp:inline distT="0" distB="0" distL="0" distR="0" wp14:anchorId="16D34E25" wp14:editId="4369AC12">
                  <wp:extent cx="2339340" cy="2924175"/>
                  <wp:effectExtent l="0" t="0" r="381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191" cy="292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vAlign w:val="bottom"/>
          </w:tcPr>
          <w:p w14:paraId="19C34FE9" w14:textId="77777777" w:rsidR="007B4900" w:rsidRPr="0071160A" w:rsidRDefault="00EF3CD5" w:rsidP="0071160A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F3CD5">
              <w:rPr>
                <w:rFonts w:ascii="Calibri" w:hAnsi="Calibri"/>
                <w:sz w:val="18"/>
                <w:szCs w:val="18"/>
              </w:rPr>
              <w:t xml:space="preserve">Da </w:t>
            </w:r>
            <w:proofErr w:type="spellStart"/>
            <w:r w:rsidRPr="00EF3CD5">
              <w:rPr>
                <w:rFonts w:ascii="Calibri" w:hAnsi="Calibri"/>
                <w:sz w:val="18"/>
                <w:szCs w:val="18"/>
              </w:rPr>
              <w:t>sinistra</w:t>
            </w:r>
            <w:proofErr w:type="spellEnd"/>
            <w:r w:rsidRPr="00EF3CD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F3CD5">
              <w:rPr>
                <w:rFonts w:ascii="Calibri" w:hAnsi="Calibri"/>
                <w:sz w:val="18"/>
                <w:szCs w:val="18"/>
              </w:rPr>
              <w:t>verso</w:t>
            </w:r>
            <w:proofErr w:type="spellEnd"/>
            <w:r w:rsidRPr="00EF3CD5">
              <w:rPr>
                <w:rFonts w:ascii="Calibri" w:hAnsi="Calibri"/>
                <w:sz w:val="18"/>
                <w:szCs w:val="18"/>
              </w:rPr>
              <w:t xml:space="preserve"> destra: Marcus Remmel, Mireille Deckers-Strobel,</w:t>
            </w:r>
            <w:r w:rsidRPr="00EF3CD5">
              <w:t xml:space="preserve"> </w:t>
            </w:r>
            <w:r w:rsidRPr="00EF3CD5">
              <w:rPr>
                <w:rFonts w:ascii="Calibri" w:hAnsi="Calibri"/>
                <w:sz w:val="18"/>
                <w:szCs w:val="18"/>
              </w:rPr>
              <w:t>Karl Faulhaber, Volker Sprenger © FAULHABER</w:t>
            </w:r>
          </w:p>
        </w:tc>
      </w:tr>
      <w:tr w:rsidR="00D60F5B" w14:paraId="05AEA347" w14:textId="77777777" w:rsidTr="00233B0C">
        <w:trPr>
          <w:cantSplit/>
          <w:trHeight w:val="80"/>
        </w:trPr>
        <w:tc>
          <w:tcPr>
            <w:tcW w:w="4678" w:type="dxa"/>
          </w:tcPr>
          <w:p w14:paraId="6CB3FEF2" w14:textId="77777777" w:rsidR="003A2EA1" w:rsidRPr="003A2EA1" w:rsidRDefault="003A2EA1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50486DF1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7BA7D6A" w14:textId="77777777" w:rsidR="00956842" w:rsidRPr="000F5B6C" w:rsidRDefault="00956842" w:rsidP="00CE19E2">
      <w:pPr>
        <w:spacing w:line="300" w:lineRule="auto"/>
        <w:rPr>
          <w:rFonts w:ascii="Calibri" w:hAnsi="Calibri"/>
          <w:szCs w:val="24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D60F5B" w:rsidRPr="00EF3CD5" w14:paraId="43EC6F71" w14:textId="77777777" w:rsidTr="00153E4E">
        <w:trPr>
          <w:cantSplit/>
        </w:trPr>
        <w:tc>
          <w:tcPr>
            <w:tcW w:w="5637" w:type="dxa"/>
          </w:tcPr>
          <w:p w14:paraId="6869FBD6" w14:textId="77777777" w:rsidR="009A3E87" w:rsidRPr="00EF3CD5" w:rsidRDefault="00EF3CD5" w:rsidP="00153E4E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val="it"/>
              </w:rPr>
              <w:t>Contatto stampa (Germania + internazionale)</w:t>
            </w:r>
          </w:p>
          <w:p w14:paraId="44EF20A7" w14:textId="77777777" w:rsidR="009A3E87" w:rsidRPr="00AB6F49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 xml:space="preserve">Dr. Fritz Faulhaber GmbH &amp; Co. </w:t>
            </w:r>
            <w:r w:rsidRPr="00EF3CD5">
              <w:rPr>
                <w:rFonts w:ascii="Calibri" w:hAnsi="Calibri"/>
                <w:color w:val="003967"/>
                <w:sz w:val="20"/>
                <w:szCs w:val="24"/>
              </w:rPr>
              <w:t xml:space="preserve">KG </w:t>
            </w:r>
          </w:p>
          <w:p w14:paraId="24C46D54" w14:textId="77777777" w:rsidR="009A3E87" w:rsidRPr="00AB6F49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EF3CD5">
              <w:rPr>
                <w:rFonts w:ascii="Calibri" w:hAnsi="Calibri"/>
                <w:color w:val="003967"/>
                <w:sz w:val="20"/>
                <w:szCs w:val="24"/>
              </w:rPr>
              <w:t xml:space="preserve">Kristina Wolff – Marketing </w:t>
            </w:r>
          </w:p>
          <w:p w14:paraId="1EA2EE02" w14:textId="77777777" w:rsidR="009A3E87" w:rsidRPr="00AB6F49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EF3CD5">
              <w:rPr>
                <w:rFonts w:ascii="Calibri" w:hAnsi="Calibri"/>
                <w:color w:val="003967"/>
                <w:sz w:val="20"/>
                <w:szCs w:val="24"/>
              </w:rPr>
              <w:t>Faulhaberstraße 1 · 71101 Schönaich</w:t>
            </w:r>
          </w:p>
          <w:p w14:paraId="6B9188EF" w14:textId="77777777" w:rsidR="009A3E87" w:rsidRPr="00AB6F49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>Germania</w:t>
            </w:r>
          </w:p>
          <w:p w14:paraId="493F1A3B" w14:textId="77777777" w:rsidR="009A3E87" w:rsidRPr="00AB6F49" w:rsidRDefault="009A3E87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14DE285F" w14:textId="77777777" w:rsidR="009A3E87" w:rsidRPr="00B064E6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val="it"/>
              </w:rPr>
              <w:t>T</w:t>
            </w: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 xml:space="preserve"> +49 7031 638-148 · </w:t>
            </w:r>
            <w:r>
              <w:rPr>
                <w:rFonts w:ascii="Calibri" w:hAnsi="Calibri"/>
                <w:color w:val="0092D0"/>
                <w:sz w:val="20"/>
                <w:szCs w:val="24"/>
                <w:lang w:val="it"/>
              </w:rPr>
              <w:t>F</w:t>
            </w: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 xml:space="preserve"> +49 7031 638-8148 </w:t>
            </w:r>
          </w:p>
          <w:p w14:paraId="29BF7D4F" w14:textId="77777777" w:rsidR="009A3E87" w:rsidRPr="00B064E6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>redaktion@faulhaber.com</w:t>
            </w:r>
          </w:p>
          <w:p w14:paraId="32370D67" w14:textId="77777777" w:rsidR="009A3E87" w:rsidRPr="00B064E6" w:rsidRDefault="009A3E87" w:rsidP="00153E4E">
            <w:pPr>
              <w:ind w:left="-108"/>
              <w:rPr>
                <w:rFonts w:ascii="Calibri" w:hAnsi="Calibri"/>
                <w:color w:val="003967"/>
                <w:szCs w:val="24"/>
              </w:rPr>
            </w:pPr>
          </w:p>
        </w:tc>
        <w:tc>
          <w:tcPr>
            <w:tcW w:w="4428" w:type="dxa"/>
          </w:tcPr>
          <w:p w14:paraId="0509E9C2" w14:textId="77777777" w:rsidR="009A3E87" w:rsidRPr="00EF3CD5" w:rsidRDefault="00EF3CD5" w:rsidP="00153E4E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val="it"/>
              </w:rPr>
              <w:t>Contatto stampa (Svizzera)</w:t>
            </w:r>
          </w:p>
          <w:p w14:paraId="685979F0" w14:textId="77777777" w:rsidR="009A3E87" w:rsidRPr="00EF3CD5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 xml:space="preserve">FAULHABER SA </w:t>
            </w:r>
          </w:p>
          <w:p w14:paraId="4BA7CA72" w14:textId="77777777" w:rsidR="009A3E87" w:rsidRPr="00EF3CD5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>Ann-Kristin Hage-Ripamonti – Marketing</w:t>
            </w:r>
          </w:p>
          <w:p w14:paraId="7F0E6495" w14:textId="77777777" w:rsidR="009A3E87" w:rsidRPr="00EF3CD5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>6980 Croglio</w:t>
            </w:r>
          </w:p>
          <w:p w14:paraId="66359AEB" w14:textId="77777777" w:rsidR="009A3E87" w:rsidRPr="00EF3CD5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>Svizzera</w:t>
            </w:r>
          </w:p>
          <w:p w14:paraId="31850DB4" w14:textId="77777777" w:rsidR="009A3E87" w:rsidRPr="00EF3CD5" w:rsidRDefault="009A3E87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</w:p>
          <w:p w14:paraId="586B6E2F" w14:textId="77777777" w:rsidR="009A3E87" w:rsidRPr="00EF3CD5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val="it"/>
              </w:rPr>
              <w:t>T</w:t>
            </w: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 xml:space="preserve"> +41 91 61 13 239 · </w:t>
            </w:r>
            <w:r>
              <w:rPr>
                <w:rFonts w:ascii="Calibri" w:hAnsi="Calibri"/>
                <w:color w:val="0092D0"/>
                <w:sz w:val="20"/>
                <w:szCs w:val="24"/>
                <w:lang w:val="it"/>
              </w:rPr>
              <w:t>F</w:t>
            </w: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 xml:space="preserve"> +41 91 611 31 10</w:t>
            </w:r>
          </w:p>
          <w:p w14:paraId="2C6ED8F7" w14:textId="77777777" w:rsidR="009A3E87" w:rsidRPr="00EF3CD5" w:rsidRDefault="00EF3CD5" w:rsidP="00153E4E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it"/>
              </w:rPr>
              <w:t>marketing@faulhaber.ch</w:t>
            </w:r>
          </w:p>
          <w:p w14:paraId="3386580B" w14:textId="77777777" w:rsidR="009A3E87" w:rsidRPr="00EF3CD5" w:rsidRDefault="009A3E87" w:rsidP="00153E4E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  <w:lang w:val="it-IT"/>
              </w:rPr>
            </w:pPr>
          </w:p>
        </w:tc>
      </w:tr>
    </w:tbl>
    <w:p w14:paraId="607C2CE6" w14:textId="77777777" w:rsidR="00A572F1" w:rsidRPr="00EF3CD5" w:rsidRDefault="00A572F1" w:rsidP="00D0537A">
      <w:pPr>
        <w:rPr>
          <w:lang w:val="it-IT"/>
        </w:rPr>
      </w:pPr>
    </w:p>
    <w:sectPr w:rsidR="00A572F1" w:rsidRPr="00EF3CD5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28A8" w14:textId="77777777" w:rsidR="00000000" w:rsidRDefault="00EF3CD5">
      <w:r>
        <w:separator/>
      </w:r>
    </w:p>
  </w:endnote>
  <w:endnote w:type="continuationSeparator" w:id="0">
    <w:p w14:paraId="28F9A2ED" w14:textId="77777777" w:rsidR="00000000" w:rsidRDefault="00EF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8180" w14:textId="77777777" w:rsidR="001F1D92" w:rsidRDefault="00EF3CD5" w:rsidP="00A454BC">
    <w:pPr>
      <w:pStyle w:val="Fuzeile"/>
      <w:tabs>
        <w:tab w:val="clear" w:pos="4536"/>
        <w:tab w:val="clear" w:pos="9072"/>
      </w:tabs>
    </w:pPr>
    <w:r>
      <w:rPr>
        <w:noProof/>
        <w:lang w:val="it"/>
      </w:rPr>
      <w:drawing>
        <wp:anchor distT="0" distB="0" distL="114300" distR="114300" simplePos="0" relativeHeight="251657216" behindDoc="0" locked="0" layoutInCell="1" allowOverlap="1" wp14:anchorId="2388B728" wp14:editId="4EE74AE7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CD5F" w14:textId="77777777" w:rsidR="005F763F" w:rsidRDefault="00EF3CD5">
    <w:pPr>
      <w:pStyle w:val="Fuzeile"/>
    </w:pPr>
    <w:r>
      <w:rPr>
        <w:noProof/>
        <w:lang w:val="it"/>
      </w:rPr>
      <w:drawing>
        <wp:anchor distT="0" distB="0" distL="114300" distR="114300" simplePos="0" relativeHeight="251659264" behindDoc="0" locked="0" layoutInCell="1" allowOverlap="1" wp14:anchorId="5071AD8B" wp14:editId="341B87A3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0515" w14:textId="77777777" w:rsidR="00000000" w:rsidRDefault="00EF3CD5">
      <w:r>
        <w:separator/>
      </w:r>
    </w:p>
  </w:footnote>
  <w:footnote w:type="continuationSeparator" w:id="0">
    <w:p w14:paraId="60628AD8" w14:textId="77777777" w:rsidR="00000000" w:rsidRDefault="00EF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6252" w14:textId="77777777" w:rsidR="001F1D92" w:rsidRPr="00CE19E2" w:rsidRDefault="00EF3CD5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val="it"/>
      </w:rPr>
      <w:drawing>
        <wp:anchor distT="0" distB="0" distL="114300" distR="114300" simplePos="0" relativeHeight="251656192" behindDoc="0" locked="0" layoutInCell="1" allowOverlap="1" wp14:anchorId="719DA07E" wp14:editId="4722F7C9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7609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4FBFFE60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38E912E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5F643F31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3D91E75" w14:textId="77777777" w:rsidR="00C934DA" w:rsidRPr="00AB6F49" w:rsidRDefault="00EF3CD5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val="it"/>
      </w:rPr>
      <w:t>Comunicato stampa</w:t>
    </w:r>
    <w:r>
      <w:rPr>
        <w:rFonts w:ascii="Calibri" w:hAnsi="Calibri"/>
        <w:noProof/>
        <w:szCs w:val="24"/>
        <w:lang w:val="it"/>
      </w:rPr>
      <w:drawing>
        <wp:anchor distT="0" distB="0" distL="114300" distR="114300" simplePos="0" relativeHeight="251658240" behindDoc="0" locked="0" layoutInCell="1" allowOverlap="1" wp14:anchorId="1A3163CD" wp14:editId="73CE67D1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2384F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EB52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E4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04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40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2C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A9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8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4B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911AD"/>
    <w:rsid w:val="000E036F"/>
    <w:rsid w:val="000F5B6C"/>
    <w:rsid w:val="00153E4E"/>
    <w:rsid w:val="00157998"/>
    <w:rsid w:val="001957EA"/>
    <w:rsid w:val="001A0A1D"/>
    <w:rsid w:val="001A5964"/>
    <w:rsid w:val="001B390E"/>
    <w:rsid w:val="001C3041"/>
    <w:rsid w:val="001C78C7"/>
    <w:rsid w:val="001D24CB"/>
    <w:rsid w:val="001F1D92"/>
    <w:rsid w:val="00206083"/>
    <w:rsid w:val="00230DDB"/>
    <w:rsid w:val="002313D5"/>
    <w:rsid w:val="00233B0C"/>
    <w:rsid w:val="00234BDD"/>
    <w:rsid w:val="00273D73"/>
    <w:rsid w:val="0028443C"/>
    <w:rsid w:val="002859B3"/>
    <w:rsid w:val="00287224"/>
    <w:rsid w:val="002A431C"/>
    <w:rsid w:val="002D18BA"/>
    <w:rsid w:val="002F4956"/>
    <w:rsid w:val="002F55A9"/>
    <w:rsid w:val="003258F1"/>
    <w:rsid w:val="00333000"/>
    <w:rsid w:val="00342BBC"/>
    <w:rsid w:val="00354A05"/>
    <w:rsid w:val="00356DD8"/>
    <w:rsid w:val="00364804"/>
    <w:rsid w:val="003751FE"/>
    <w:rsid w:val="00397D6C"/>
    <w:rsid w:val="003A2EA1"/>
    <w:rsid w:val="003B29F8"/>
    <w:rsid w:val="003D1442"/>
    <w:rsid w:val="0040263A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54327B"/>
    <w:rsid w:val="005459C0"/>
    <w:rsid w:val="00551C1E"/>
    <w:rsid w:val="0058675A"/>
    <w:rsid w:val="005C3C07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83D9E"/>
    <w:rsid w:val="006A6996"/>
    <w:rsid w:val="006B48CA"/>
    <w:rsid w:val="006E37E4"/>
    <w:rsid w:val="007007A7"/>
    <w:rsid w:val="0071160A"/>
    <w:rsid w:val="007377C4"/>
    <w:rsid w:val="00741FA2"/>
    <w:rsid w:val="00746CD5"/>
    <w:rsid w:val="00763722"/>
    <w:rsid w:val="0077521C"/>
    <w:rsid w:val="007953B7"/>
    <w:rsid w:val="007A5D91"/>
    <w:rsid w:val="007B15DF"/>
    <w:rsid w:val="007B476A"/>
    <w:rsid w:val="007B4900"/>
    <w:rsid w:val="007C3336"/>
    <w:rsid w:val="007D5DE6"/>
    <w:rsid w:val="007F4F30"/>
    <w:rsid w:val="008068EB"/>
    <w:rsid w:val="00806B8D"/>
    <w:rsid w:val="0081008D"/>
    <w:rsid w:val="00846343"/>
    <w:rsid w:val="00871680"/>
    <w:rsid w:val="008751B3"/>
    <w:rsid w:val="008F2EED"/>
    <w:rsid w:val="008F7ACE"/>
    <w:rsid w:val="0091057D"/>
    <w:rsid w:val="00925A3B"/>
    <w:rsid w:val="00946EAC"/>
    <w:rsid w:val="00950F35"/>
    <w:rsid w:val="00956842"/>
    <w:rsid w:val="0097309F"/>
    <w:rsid w:val="00973316"/>
    <w:rsid w:val="009A3E87"/>
    <w:rsid w:val="009B4F18"/>
    <w:rsid w:val="009C53CD"/>
    <w:rsid w:val="009D0DEC"/>
    <w:rsid w:val="009D6D40"/>
    <w:rsid w:val="009D7219"/>
    <w:rsid w:val="009F2D6B"/>
    <w:rsid w:val="00A02701"/>
    <w:rsid w:val="00A16621"/>
    <w:rsid w:val="00A2106F"/>
    <w:rsid w:val="00A42665"/>
    <w:rsid w:val="00A454BC"/>
    <w:rsid w:val="00A572F1"/>
    <w:rsid w:val="00A71B61"/>
    <w:rsid w:val="00A97770"/>
    <w:rsid w:val="00AB1C73"/>
    <w:rsid w:val="00AB5F33"/>
    <w:rsid w:val="00AB6F49"/>
    <w:rsid w:val="00AF79B5"/>
    <w:rsid w:val="00B064E6"/>
    <w:rsid w:val="00B349FA"/>
    <w:rsid w:val="00B62ECD"/>
    <w:rsid w:val="00B83133"/>
    <w:rsid w:val="00BA49FD"/>
    <w:rsid w:val="00BB3B04"/>
    <w:rsid w:val="00BD3034"/>
    <w:rsid w:val="00BF190C"/>
    <w:rsid w:val="00BF2449"/>
    <w:rsid w:val="00C029FF"/>
    <w:rsid w:val="00C254FB"/>
    <w:rsid w:val="00C26761"/>
    <w:rsid w:val="00C637A3"/>
    <w:rsid w:val="00C67021"/>
    <w:rsid w:val="00C80EB2"/>
    <w:rsid w:val="00C8482C"/>
    <w:rsid w:val="00C934DA"/>
    <w:rsid w:val="00CA3021"/>
    <w:rsid w:val="00CA4216"/>
    <w:rsid w:val="00CE19E2"/>
    <w:rsid w:val="00D0537A"/>
    <w:rsid w:val="00D17321"/>
    <w:rsid w:val="00D31D90"/>
    <w:rsid w:val="00D60F5B"/>
    <w:rsid w:val="00D743A7"/>
    <w:rsid w:val="00DB55AB"/>
    <w:rsid w:val="00DE3B8E"/>
    <w:rsid w:val="00E245B8"/>
    <w:rsid w:val="00E333D5"/>
    <w:rsid w:val="00E4437D"/>
    <w:rsid w:val="00E5429C"/>
    <w:rsid w:val="00E64D65"/>
    <w:rsid w:val="00E82C85"/>
    <w:rsid w:val="00E85FBA"/>
    <w:rsid w:val="00EC0CB6"/>
    <w:rsid w:val="00EC781D"/>
    <w:rsid w:val="00EF0802"/>
    <w:rsid w:val="00EF3CD5"/>
    <w:rsid w:val="00EF51B7"/>
    <w:rsid w:val="00F05FFA"/>
    <w:rsid w:val="00F54BBE"/>
    <w:rsid w:val="00F93B4D"/>
    <w:rsid w:val="00FA69C3"/>
    <w:rsid w:val="00FA74B9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FF4F5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3243</Characters>
  <Application>Microsoft Office Word</Application>
  <DocSecurity>0</DocSecurity>
  <Lines>162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Frey Carina</cp:lastModifiedBy>
  <cp:revision>19</cp:revision>
  <cp:lastPrinted>2016-03-23T17:15:00Z</cp:lastPrinted>
  <dcterms:created xsi:type="dcterms:W3CDTF">2023-09-26T13:14:00Z</dcterms:created>
  <dcterms:modified xsi:type="dcterms:W3CDTF">2023-10-05T10:14:00Z</dcterms:modified>
</cp:coreProperties>
</file>